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60" w:line="240" w:lineRule="atLeast"/>
        <w:rPr>
          <w:b/>
          <w:bCs/>
          <w:sz w:val="21"/>
          <w:szCs w:val="21"/>
        </w:rPr>
      </w:pPr>
      <w:r>
        <w:rPr>
          <w:b/>
          <w:sz w:val="21"/>
          <w:szCs w:val="21"/>
          <w:highlight w:val="none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jc w:val="center"/>
        <w:spacing w:before="60" w:line="240" w:lineRule="atLeast"/>
        <w:rPr>
          <w:b/>
          <w:bCs/>
          <w:sz w:val="21"/>
          <w:szCs w:val="21"/>
          <w:highlight w:val="none"/>
        </w:rPr>
      </w:pPr>
      <w:r>
        <w:rPr>
          <w:b/>
          <w:sz w:val="21"/>
          <w:szCs w:val="21"/>
          <w:highlight w:val="none"/>
        </w:rPr>
      </w:r>
      <w:r>
        <w:rPr>
          <w:b/>
          <w:bCs/>
          <w:sz w:val="21"/>
          <w:szCs w:val="21"/>
          <w:highlight w:val="none"/>
        </w:rPr>
      </w:r>
      <w:r>
        <w:rPr>
          <w:b/>
          <w:bCs/>
          <w:sz w:val="21"/>
          <w:szCs w:val="21"/>
          <w:highlight w:val="none"/>
        </w:rPr>
      </w:r>
    </w:p>
    <w:p>
      <w:pPr>
        <w:jc w:val="center"/>
        <w:spacing w:before="60" w:line="240" w:lineRule="atLeast"/>
        <w:rPr>
          <w:b/>
          <w:bCs/>
          <w:sz w:val="21"/>
          <w:szCs w:val="21"/>
          <w:highlight w:val="none"/>
        </w:rPr>
      </w:pPr>
      <w:r>
        <w:rPr>
          <w:b/>
          <w:sz w:val="21"/>
          <w:szCs w:val="21"/>
          <w:highlight w:val="none"/>
        </w:rPr>
      </w:r>
      <w:r>
        <w:rPr>
          <w:b/>
          <w:bCs/>
          <w:sz w:val="21"/>
          <w:szCs w:val="21"/>
          <w:highlight w:val="none"/>
        </w:rPr>
      </w:r>
      <w:r>
        <w:rPr>
          <w:b/>
          <w:bCs/>
          <w:sz w:val="21"/>
          <w:szCs w:val="21"/>
          <w:highlight w:val="none"/>
        </w:rPr>
      </w:r>
    </w:p>
    <w:p>
      <w:pPr>
        <w:pStyle w:val="882"/>
        <w:jc w:val="center"/>
        <w:spacing w:before="60" w:line="240" w:lineRule="atLeast"/>
        <w:rPr>
          <w:b/>
          <w:bCs/>
          <w:sz w:val="21"/>
          <w:szCs w:val="21"/>
          <w:highlight w:val="none"/>
        </w:rPr>
      </w:pPr>
      <w:r>
        <w:rPr>
          <w:b/>
          <w:sz w:val="21"/>
          <w:szCs w:val="21"/>
        </w:rPr>
        <w:t xml:space="preserve">Филиал </w:t>
      </w:r>
      <w:r>
        <w:rPr>
          <w:b/>
          <w:sz w:val="21"/>
          <w:szCs w:val="21"/>
        </w:rPr>
        <w:t xml:space="preserve">П</w:t>
      </w:r>
      <w:r>
        <w:rPr>
          <w:b/>
          <w:sz w:val="21"/>
          <w:szCs w:val="21"/>
        </w:rPr>
        <w:t xml:space="preserve">АО «</w:t>
      </w:r>
      <w:r>
        <w:rPr>
          <w:b/>
          <w:sz w:val="21"/>
          <w:szCs w:val="21"/>
        </w:rPr>
        <w:t xml:space="preserve">Россети </w:t>
      </w:r>
      <w:r>
        <w:rPr>
          <w:b/>
          <w:sz w:val="21"/>
          <w:szCs w:val="21"/>
        </w:rPr>
        <w:t xml:space="preserve">Сибир</w:t>
      </w:r>
      <w:r>
        <w:rPr>
          <w:b/>
          <w:sz w:val="21"/>
          <w:szCs w:val="21"/>
        </w:rPr>
        <w:t xml:space="preserve">ь</w:t>
      </w:r>
      <w:r>
        <w:rPr>
          <w:b/>
          <w:sz w:val="21"/>
          <w:szCs w:val="21"/>
        </w:rPr>
        <w:t xml:space="preserve">»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-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«</w:t>
      </w:r>
      <w:r>
        <w:rPr>
          <w:b/>
          <w:sz w:val="21"/>
          <w:szCs w:val="21"/>
        </w:rPr>
        <w:t xml:space="preserve">Алтайэнерго</w:t>
      </w:r>
      <w:r>
        <w:rPr>
          <w:b/>
          <w:sz w:val="21"/>
          <w:szCs w:val="21"/>
        </w:rPr>
        <w:t xml:space="preserve">» извещает о приеме предложений</w:t>
      </w:r>
      <w:r>
        <w:rPr>
          <w:b/>
          <w:sz w:val="21"/>
          <w:szCs w:val="21"/>
        </w:rPr>
        <w:t xml:space="preserve"> по</w:t>
      </w:r>
      <w:r>
        <w:rPr>
          <w:b/>
          <w:sz w:val="21"/>
          <w:szCs w:val="21"/>
        </w:rPr>
        <w:t xml:space="preserve"> покупке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невостребованных материально</w:t>
      </w:r>
      <w:r>
        <w:rPr>
          <w:b/>
          <w:sz w:val="21"/>
          <w:szCs w:val="21"/>
        </w:rPr>
        <w:t xml:space="preserve">-</w:t>
      </w:r>
      <w:r>
        <w:rPr>
          <w:b/>
          <w:sz w:val="21"/>
          <w:szCs w:val="21"/>
        </w:rPr>
        <w:t xml:space="preserve">производственных запасов.</w:t>
      </w:r>
      <w:r>
        <w:rPr>
          <w:b/>
          <w:sz w:val="21"/>
          <w:szCs w:val="21"/>
        </w:rPr>
        <w:t xml:space="preserve"> Этап №2.</w:t>
      </w:r>
      <w:r>
        <w:rPr>
          <w:b/>
          <w:bCs/>
          <w:sz w:val="21"/>
          <w:szCs w:val="21"/>
          <w:highlight w:val="none"/>
        </w:rPr>
      </w:r>
      <w:r>
        <w:rPr>
          <w:b/>
          <w:bCs/>
          <w:sz w:val="21"/>
          <w:szCs w:val="21"/>
          <w:highlight w:val="none"/>
        </w:rPr>
      </w:r>
    </w:p>
    <w:p>
      <w:pPr>
        <w:pStyle w:val="882"/>
        <w:jc w:val="center"/>
        <w:spacing w:before="60" w:line="240" w:lineRule="atLeas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jc w:val="center"/>
        <w:spacing w:before="60" w:line="240" w:lineRule="atLeast"/>
        <w:rPr>
          <w:b/>
          <w:bCs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pStyle w:val="882"/>
        <w:jc w:val="center"/>
        <w:spacing w:before="60" w:line="240" w:lineRule="atLeast"/>
        <w:rPr>
          <w:b/>
          <w:bCs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pStyle w:val="882"/>
        <w:ind w:firstLine="709"/>
        <w:jc w:val="both"/>
        <w:spacing w:line="240" w:lineRule="atLeast"/>
      </w:pPr>
      <w:r>
        <w:rPr>
          <w:sz w:val="21"/>
          <w:szCs w:val="21"/>
        </w:rPr>
        <w:t xml:space="preserve">Филиал ПАО «Россети Сибирь» – «Алтайэнерго» в лице начальника </w:t>
      </w:r>
      <w:r>
        <w:rPr>
          <w:sz w:val="21"/>
          <w:szCs w:val="21"/>
        </w:rPr>
        <w:t xml:space="preserve">управления логистики и материально-технического обеспечения Калинина </w:t>
      </w:r>
      <w:r>
        <w:rPr>
          <w:sz w:val="21"/>
          <w:szCs w:val="21"/>
        </w:rPr>
        <w:t xml:space="preserve">Анатолия Николаевича (далее – Продавец), действующего на основании </w:t>
      </w:r>
      <w:r>
        <w:rPr>
          <w:sz w:val="21"/>
          <w:szCs w:val="21"/>
        </w:rPr>
        <w:t xml:space="preserve">доверенности от 28 апреля 2025  №00/147/22/62, приглашает юридических и физических лиц </w:t>
      </w:r>
      <w:r>
        <w:rPr>
          <w:sz w:val="21"/>
          <w:szCs w:val="21"/>
        </w:rPr>
        <w:t xml:space="preserve">(далее — Покупатели), способных на законных основаниях купить реализуемую </w:t>
      </w:r>
      <w:r>
        <w:rPr>
          <w:sz w:val="21"/>
          <w:szCs w:val="21"/>
        </w:rPr>
        <w:t xml:space="preserve">продукцию, подавать свои предложения по покупке продукции. </w:t>
      </w:r>
      <w:r>
        <w:rPr>
          <w:sz w:val="21"/>
          <w:szCs w:val="21"/>
        </w:rPr>
      </w:r>
      <w:r/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1. Невостребованные запасы ПАО «Россети Сибирь» – «Алтайэнерго» </w:t>
      </w:r>
      <w:r>
        <w:rPr>
          <w:sz w:val="21"/>
          <w:szCs w:val="21"/>
        </w:rPr>
        <w:t xml:space="preserve">отражены в приложении (Приложение №1). </w:t>
      </w:r>
      <w:r>
        <w:rPr>
          <w:sz w:val="21"/>
          <w:szCs w:val="21"/>
        </w:rPr>
        <w:t xml:space="preserve">Предварительный осмотр ТМЦ можно произвести в будние дни с 9:00 до 16:00, </w:t>
      </w:r>
      <w:r>
        <w:rPr>
          <w:sz w:val="21"/>
          <w:szCs w:val="21"/>
        </w:rPr>
        <w:t xml:space="preserve">обед с 12:30 до 13:18, по согласованию. Контактное лицо: Фомин Андрей Сергеевич,</w:t>
      </w:r>
      <w:r>
        <w:rPr>
          <w:sz w:val="21"/>
          <w:szCs w:val="21"/>
        </w:rPr>
        <w:t xml:space="preserve"> тел. 8(3852)568-337.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2. Сведения об обременениях имущества: реализуемое оборудование </w:t>
      </w:r>
      <w:r>
        <w:rPr>
          <w:sz w:val="21"/>
          <w:szCs w:val="21"/>
        </w:rPr>
        <w:t xml:space="preserve">принадлежит Продавцу на праве собственности, никому не проданы, не заложены, в </w:t>
      </w:r>
      <w:r>
        <w:rPr>
          <w:sz w:val="21"/>
          <w:szCs w:val="21"/>
        </w:rPr>
        <w:t xml:space="preserve">споре и под арестом не находятся.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3. Условия оплаты: предоплата 100% в течение 14 календарных дней с момента </w:t>
      </w:r>
      <w:r>
        <w:rPr>
          <w:sz w:val="21"/>
          <w:szCs w:val="21"/>
        </w:rPr>
        <w:t xml:space="preserve">подписания договора на основании счёта, выставленного Продавцом.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4. Дополнительные условия: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4.1. Доставка со склада продавца осуществляется самовывозом.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4.2. Цена предложения должна включать все налоги и другие обязательные </w:t>
      </w:r>
      <w:r>
        <w:rPr>
          <w:sz w:val="21"/>
          <w:szCs w:val="21"/>
        </w:rPr>
        <w:t xml:space="preserve">платежи, стоимость всех сопутствующих работ (услуг).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4.3. Предложение подается на русском языке, цены указываются в российских </w:t>
      </w:r>
      <w:r>
        <w:rPr>
          <w:sz w:val="21"/>
          <w:szCs w:val="21"/>
        </w:rPr>
        <w:t xml:space="preserve">рублях.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4.4. Предложение подписывается лицом, имеющим право, в соответствие с </w:t>
      </w:r>
      <w:r>
        <w:rPr>
          <w:sz w:val="21"/>
          <w:szCs w:val="21"/>
        </w:rPr>
        <w:t xml:space="preserve">законодательством РФ, действовать от лица Покупателя без доверенности, или </w:t>
      </w:r>
      <w:r>
        <w:rPr>
          <w:sz w:val="21"/>
          <w:szCs w:val="21"/>
        </w:rPr>
        <w:t xml:space="preserve">надлежащим образом, уполномоченным им лицом на основании доверенности (далее </w:t>
      </w:r>
      <w:r>
        <w:rPr>
          <w:sz w:val="21"/>
          <w:szCs w:val="21"/>
        </w:rPr>
        <w:t xml:space="preserve">– уполномоченное лицо) и скрепляется печатью Покупателя.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4.5. Покупатель обязуется забрать продукцию в течение 10 рабочих дней с </w:t>
      </w:r>
      <w:r>
        <w:rPr>
          <w:sz w:val="21"/>
          <w:szCs w:val="21"/>
        </w:rPr>
        <w:t xml:space="preserve">момента поступления денежных средств на расчетный счет Продавца.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4.6. Предложение подается в форме подачи предложений для юридических лиц </w:t>
      </w:r>
      <w:r>
        <w:rPr>
          <w:sz w:val="21"/>
          <w:szCs w:val="21"/>
        </w:rPr>
        <w:t xml:space="preserve">(Приложение №2), в форме подачи предложений для физических лиц (Приложение №</w:t>
      </w:r>
      <w:r>
        <w:rPr>
          <w:sz w:val="21"/>
          <w:szCs w:val="21"/>
        </w:rPr>
        <w:t xml:space="preserve">3) на имя директора филиала ПАО «Россети Сибирь» – «Алтайэнерго» Пантелеева</w:t>
      </w:r>
      <w:r>
        <w:rPr>
          <w:sz w:val="21"/>
          <w:szCs w:val="21"/>
        </w:rPr>
        <w:t xml:space="preserve"> Николая Анатольевича.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4.7. </w:t>
      </w:r>
      <w:r>
        <w:rPr>
          <w:sz w:val="21"/>
          <w:szCs w:val="21"/>
        </w:rPr>
        <w:t xml:space="preserve">Дополнительная информация</w:t>
      </w:r>
      <w:r>
        <w:rPr>
          <w:sz w:val="21"/>
          <w:szCs w:val="21"/>
        </w:rPr>
        <w:t xml:space="preserve"> о порядке проведения процедуры продажи, предварительное ознакомление претендент</w:t>
      </w:r>
      <w:r>
        <w:rPr>
          <w:sz w:val="21"/>
          <w:szCs w:val="21"/>
        </w:rPr>
        <w:t xml:space="preserve">ов с характеристиками имущества, документацией, необходимой для участия в процедуре (форма заявки, проект договора купли-продажи и т.д.), а также прием заявок производится по адресу</w:t>
      </w:r>
      <w:r>
        <w:rPr>
          <w:b/>
          <w:sz w:val="21"/>
          <w:szCs w:val="21"/>
        </w:rPr>
        <w:t xml:space="preserve">:</w:t>
      </w:r>
      <w:r>
        <w:rPr>
          <w:sz w:val="21"/>
          <w:szCs w:val="21"/>
        </w:rPr>
        <w:t xml:space="preserve"> 656002, Алтайский край, г. Барнаул, </w:t>
      </w:r>
      <w:r>
        <w:rPr>
          <w:sz w:val="21"/>
          <w:szCs w:val="21"/>
        </w:rPr>
        <w:t xml:space="preserve">ул.Кулагина, 16 Филиал ПАО «Россети Сибирь» – «Алтайэнерго», кабинет 108</w:t>
      </w:r>
      <w:r>
        <w:rPr>
          <w:sz w:val="21"/>
          <w:szCs w:val="21"/>
        </w:rPr>
        <w:t xml:space="preserve">, главному специалисту отдела комплектации УЛиМТО Фомину А.С.., тел. 8(3852)568-337 или в электронном виде на </w:t>
      </w:r>
      <w:r>
        <w:rPr>
          <w:sz w:val="21"/>
          <w:szCs w:val="21"/>
        </w:rPr>
        <w:t xml:space="preserve">электронный адрес: </w:t>
      </w:r>
      <w:hyperlink r:id="rId11" w:tooltip="http://Fomin_AS@ba.rosseti" w:history="1">
        <w:r>
          <w:rPr>
            <w:rStyle w:val="903"/>
            <w:sz w:val="21"/>
            <w:szCs w:val="21"/>
          </w:rPr>
          <w:t xml:space="preserve">Fomin_AS@ba.rosseti</w:t>
        </w:r>
      </w:hyperlink>
      <w:r>
        <w:rPr>
          <w:sz w:val="21"/>
          <w:szCs w:val="21"/>
        </w:rPr>
        <w:t xml:space="preserve">-sib.ru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5. Срок подачи предложения: до 12:00 Красноярского времени 24.02.2026г. </w:t>
      </w:r>
      <w:r>
        <w:rPr>
          <w:sz w:val="21"/>
          <w:szCs w:val="21"/>
        </w:rPr>
        <w:t xml:space="preserve">Предложения, направленные с нарушением установленных сроков, к рассмотрению </w:t>
      </w:r>
      <w:r>
        <w:rPr>
          <w:sz w:val="21"/>
          <w:szCs w:val="21"/>
        </w:rPr>
        <w:t xml:space="preserve">не принимаются.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  <w:t xml:space="preserve">6. Критерием для определения Победителя является наибольшая цена </w:t>
      </w:r>
      <w:r>
        <w:rPr>
          <w:sz w:val="21"/>
          <w:szCs w:val="21"/>
        </w:rPr>
        <w:t xml:space="preserve">предложения. </w:t>
      </w:r>
      <w:r>
        <w:rPr>
          <w:sz w:val="21"/>
          <w:szCs w:val="21"/>
        </w:rPr>
        <w:t xml:space="preserve">Настоящий запрос предложений не является офертой или публичной офертой </w:t>
      </w:r>
      <w:r>
        <w:rPr>
          <w:sz w:val="21"/>
          <w:szCs w:val="21"/>
        </w:rPr>
        <w:t xml:space="preserve">Продавца. Данная процедура не является процедурой проведения конкурса. Продавец </w:t>
      </w:r>
      <w:r>
        <w:rPr>
          <w:sz w:val="21"/>
          <w:szCs w:val="21"/>
        </w:rPr>
        <w:t xml:space="preserve">имеет право отказаться от всех полученных предложений по любой причине или </w:t>
      </w:r>
      <w:r>
        <w:rPr>
          <w:sz w:val="21"/>
          <w:szCs w:val="21"/>
        </w:rPr>
        <w:t xml:space="preserve">прекратить процедуру запроса предложений в любой момент, не неся при этом </w:t>
      </w:r>
      <w:r>
        <w:rPr>
          <w:sz w:val="21"/>
          <w:szCs w:val="21"/>
        </w:rPr>
        <w:t xml:space="preserve">никакой ответственности перед покупателями.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Приложение: 1. Перечень невостребованных ТМЦ на 28л. в 1 экз.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                        </w:t>
      </w:r>
      <w:r>
        <w:rPr>
          <w:sz w:val="21"/>
          <w:szCs w:val="21"/>
        </w:rPr>
        <w:t xml:space="preserve">2. Форма подачи предложений для юридических лиц на 1л. в 1 экз.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882"/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  <w:t xml:space="preserve">                        3. Форма подачи предложений для физических лиц на 1л. в 1 экз.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709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0"/>
        <w:jc w:val="both"/>
        <w:spacing w:line="240" w:lineRule="atLeast"/>
        <w:rPr>
          <w:sz w:val="21"/>
          <w:szCs w:val="21"/>
        </w:rPr>
      </w:pPr>
      <w:r>
        <w:rPr>
          <w:sz w:val="21"/>
          <w:szCs w:val="21"/>
          <w:highlight w:val="none"/>
        </w:rPr>
        <w:t xml:space="preserve">Начальник управления логистики и МТО                                                                                         Калинин А.Н.</w:t>
      </w:r>
      <w:r>
        <w:rPr>
          <w:sz w:val="21"/>
          <w:szCs w:val="21"/>
        </w:rPr>
      </w:r>
      <w:r>
        <w:rPr>
          <w:sz w:val="21"/>
          <w:szCs w:val="21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5" w:right="567" w:bottom="284" w:left="992" w:header="136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6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  <w:rPr>
        <w:rStyle w:val="888"/>
      </w:rPr>
      <w:framePr w:wrap="around" w:vAnchor="text" w:hAnchor="margin" w:xAlign="right" w:y="1"/>
    </w:pPr>
    <w:r>
      <w:rPr>
        <w:rStyle w:val="888"/>
      </w:rPr>
      <w:fldChar w:fldCharType="begin"/>
    </w:r>
    <w:r>
      <w:rPr>
        <w:rStyle w:val="888"/>
      </w:rPr>
      <w:instrText xml:space="preserve">PAGE  </w:instrText>
    </w:r>
    <w:r>
      <w:rPr>
        <w:rStyle w:val="888"/>
      </w:rPr>
      <w:fldChar w:fldCharType="end"/>
    </w:r>
    <w:r>
      <w:rPr>
        <w:rStyle w:val="888"/>
      </w:rPr>
    </w:r>
    <w:r>
      <w:rPr>
        <w:rStyle w:val="888"/>
      </w:rPr>
    </w:r>
  </w:p>
  <w:p>
    <w:pPr>
      <w:pStyle w:val="88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1.%2"/>
      <w:lvlJc w:val="left"/>
      <w:pPr>
        <w:ind w:left="180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6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  <w:tabs>
          <w:tab w:val="num" w:pos="1212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04" w:hanging="360"/>
        <w:tabs>
          <w:tab w:val="num" w:pos="190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24" w:hanging="180"/>
        <w:tabs>
          <w:tab w:val="num" w:pos="262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44" w:hanging="360"/>
        <w:tabs>
          <w:tab w:val="num" w:pos="334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64" w:hanging="360"/>
        <w:tabs>
          <w:tab w:val="num" w:pos="406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784" w:hanging="180"/>
        <w:tabs>
          <w:tab w:val="num" w:pos="478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04" w:hanging="360"/>
        <w:tabs>
          <w:tab w:val="num" w:pos="550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24" w:hanging="360"/>
        <w:tabs>
          <w:tab w:val="num" w:pos="622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44" w:hanging="180"/>
        <w:tabs>
          <w:tab w:val="num" w:pos="6944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>
    <w:name w:val="Heading 1"/>
    <w:basedOn w:val="882"/>
    <w:next w:val="882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5">
    <w:name w:val="Heading 1 Char"/>
    <w:link w:val="704"/>
    <w:uiPriority w:val="9"/>
    <w:rPr>
      <w:rFonts w:ascii="Arial" w:hAnsi="Arial" w:eastAsia="Arial" w:cs="Arial"/>
      <w:sz w:val="40"/>
      <w:szCs w:val="40"/>
    </w:rPr>
  </w:style>
  <w:style w:type="paragraph" w:styleId="706">
    <w:name w:val="Heading 2"/>
    <w:basedOn w:val="882"/>
    <w:next w:val="882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7">
    <w:name w:val="Heading 2 Char"/>
    <w:link w:val="706"/>
    <w:uiPriority w:val="9"/>
    <w:rPr>
      <w:rFonts w:ascii="Arial" w:hAnsi="Arial" w:eastAsia="Arial" w:cs="Arial"/>
      <w:sz w:val="34"/>
    </w:rPr>
  </w:style>
  <w:style w:type="paragraph" w:styleId="708">
    <w:name w:val="Heading 3"/>
    <w:basedOn w:val="882"/>
    <w:next w:val="882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9">
    <w:name w:val="Heading 3 Char"/>
    <w:link w:val="708"/>
    <w:uiPriority w:val="9"/>
    <w:rPr>
      <w:rFonts w:ascii="Arial" w:hAnsi="Arial" w:eastAsia="Arial" w:cs="Arial"/>
      <w:sz w:val="30"/>
      <w:szCs w:val="30"/>
    </w:rPr>
  </w:style>
  <w:style w:type="paragraph" w:styleId="710">
    <w:name w:val="Heading 4"/>
    <w:basedOn w:val="882"/>
    <w:next w:val="882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1">
    <w:name w:val="Heading 4 Char"/>
    <w:link w:val="710"/>
    <w:uiPriority w:val="9"/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882"/>
    <w:next w:val="882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3">
    <w:name w:val="Heading 5 Char"/>
    <w:link w:val="712"/>
    <w:uiPriority w:val="9"/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882"/>
    <w:next w:val="882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5">
    <w:name w:val="Heading 6 Char"/>
    <w:link w:val="714"/>
    <w:uiPriority w:val="9"/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882"/>
    <w:next w:val="882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7 Char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882"/>
    <w:next w:val="882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9">
    <w:name w:val="Heading 8 Char"/>
    <w:link w:val="718"/>
    <w:uiPriority w:val="9"/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882"/>
    <w:next w:val="882"/>
    <w:link w:val="7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>
    <w:name w:val="Heading 9 Char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List Paragraph"/>
    <w:basedOn w:val="882"/>
    <w:uiPriority w:val="34"/>
    <w:qFormat/>
    <w:pPr>
      <w:contextualSpacing/>
      <w:ind w:left="720"/>
    </w:pPr>
  </w:style>
  <w:style w:type="paragraph" w:styleId="723">
    <w:name w:val="No Spacing"/>
    <w:uiPriority w:val="1"/>
    <w:qFormat/>
    <w:pPr>
      <w:spacing w:before="0" w:after="0" w:line="240" w:lineRule="auto"/>
    </w:pPr>
  </w:style>
  <w:style w:type="paragraph" w:styleId="724">
    <w:name w:val="Title"/>
    <w:basedOn w:val="882"/>
    <w:next w:val="882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link w:val="724"/>
    <w:uiPriority w:val="10"/>
    <w:rPr>
      <w:sz w:val="48"/>
      <w:szCs w:val="48"/>
    </w:rPr>
  </w:style>
  <w:style w:type="paragraph" w:styleId="726">
    <w:name w:val="Subtitle"/>
    <w:basedOn w:val="882"/>
    <w:next w:val="882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link w:val="726"/>
    <w:uiPriority w:val="11"/>
    <w:rPr>
      <w:sz w:val="24"/>
      <w:szCs w:val="24"/>
    </w:rPr>
  </w:style>
  <w:style w:type="paragraph" w:styleId="728">
    <w:name w:val="Quote"/>
    <w:basedOn w:val="882"/>
    <w:next w:val="882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82"/>
    <w:next w:val="882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paragraph" w:styleId="732">
    <w:name w:val="Header"/>
    <w:basedOn w:val="882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3">
    <w:name w:val="Header Char"/>
    <w:link w:val="732"/>
    <w:uiPriority w:val="99"/>
  </w:style>
  <w:style w:type="paragraph" w:styleId="734">
    <w:name w:val="Footer"/>
    <w:basedOn w:val="882"/>
    <w:link w:val="7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5">
    <w:name w:val="Footer Char"/>
    <w:link w:val="734"/>
    <w:uiPriority w:val="99"/>
  </w:style>
  <w:style w:type="paragraph" w:styleId="736">
    <w:name w:val="Caption"/>
    <w:basedOn w:val="882"/>
    <w:next w:val="882"/>
    <w:link w:val="7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7">
    <w:name w:val="Caption Char"/>
    <w:link w:val="736"/>
    <w:uiPriority w:val="35"/>
    <w:rPr>
      <w:b/>
      <w:bCs/>
      <w:color w:val="4f81bd" w:themeColor="accent1"/>
      <w:sz w:val="18"/>
      <w:szCs w:val="18"/>
    </w:rPr>
  </w:style>
  <w:style w:type="table" w:styleId="73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4">
    <w:name w:val="Hyperlink"/>
    <w:uiPriority w:val="99"/>
    <w:unhideWhenUsed/>
    <w:rPr>
      <w:color w:val="0000ff" w:themeColor="hyperlink"/>
      <w:u w:val="single"/>
    </w:rPr>
  </w:style>
  <w:style w:type="paragraph" w:styleId="865">
    <w:name w:val="footnote text"/>
    <w:basedOn w:val="882"/>
    <w:link w:val="866"/>
    <w:uiPriority w:val="99"/>
    <w:semiHidden/>
    <w:unhideWhenUsed/>
    <w:pPr>
      <w:spacing w:after="40" w:line="240" w:lineRule="auto"/>
    </w:pPr>
    <w:rPr>
      <w:sz w:val="18"/>
    </w:rPr>
  </w:style>
  <w:style w:type="character" w:styleId="866">
    <w:name w:val="Footnote Text Char"/>
    <w:link w:val="865"/>
    <w:uiPriority w:val="99"/>
    <w:rPr>
      <w:sz w:val="18"/>
    </w:rPr>
  </w:style>
  <w:style w:type="character" w:styleId="867">
    <w:name w:val="footnote reference"/>
    <w:uiPriority w:val="99"/>
    <w:unhideWhenUsed/>
    <w:rPr>
      <w:vertAlign w:val="superscript"/>
    </w:rPr>
  </w:style>
  <w:style w:type="paragraph" w:styleId="868">
    <w:name w:val="endnote text"/>
    <w:basedOn w:val="882"/>
    <w:link w:val="869"/>
    <w:uiPriority w:val="99"/>
    <w:semiHidden/>
    <w:unhideWhenUsed/>
    <w:pPr>
      <w:spacing w:after="0" w:line="240" w:lineRule="auto"/>
    </w:pPr>
    <w:rPr>
      <w:sz w:val="20"/>
    </w:rPr>
  </w:style>
  <w:style w:type="character" w:styleId="869">
    <w:name w:val="Endnote Text Char"/>
    <w:link w:val="868"/>
    <w:uiPriority w:val="99"/>
    <w:rPr>
      <w:sz w:val="20"/>
    </w:rPr>
  </w:style>
  <w:style w:type="character" w:styleId="870">
    <w:name w:val="endnote reference"/>
    <w:uiPriority w:val="99"/>
    <w:semiHidden/>
    <w:unhideWhenUsed/>
    <w:rPr>
      <w:vertAlign w:val="superscript"/>
    </w:rPr>
  </w:style>
  <w:style w:type="paragraph" w:styleId="871">
    <w:name w:val="toc 1"/>
    <w:basedOn w:val="882"/>
    <w:next w:val="882"/>
    <w:uiPriority w:val="39"/>
    <w:unhideWhenUsed/>
    <w:pPr>
      <w:ind w:left="0" w:right="0" w:firstLine="0"/>
      <w:spacing w:after="57"/>
    </w:pPr>
  </w:style>
  <w:style w:type="paragraph" w:styleId="872">
    <w:name w:val="toc 2"/>
    <w:basedOn w:val="882"/>
    <w:next w:val="882"/>
    <w:uiPriority w:val="39"/>
    <w:unhideWhenUsed/>
    <w:pPr>
      <w:ind w:left="283" w:right="0" w:firstLine="0"/>
      <w:spacing w:after="57"/>
    </w:pPr>
  </w:style>
  <w:style w:type="paragraph" w:styleId="873">
    <w:name w:val="toc 3"/>
    <w:basedOn w:val="882"/>
    <w:next w:val="882"/>
    <w:uiPriority w:val="39"/>
    <w:unhideWhenUsed/>
    <w:pPr>
      <w:ind w:left="567" w:right="0" w:firstLine="0"/>
      <w:spacing w:after="57"/>
    </w:pPr>
  </w:style>
  <w:style w:type="paragraph" w:styleId="874">
    <w:name w:val="toc 4"/>
    <w:basedOn w:val="882"/>
    <w:next w:val="882"/>
    <w:uiPriority w:val="39"/>
    <w:unhideWhenUsed/>
    <w:pPr>
      <w:ind w:left="850" w:right="0" w:firstLine="0"/>
      <w:spacing w:after="57"/>
    </w:pPr>
  </w:style>
  <w:style w:type="paragraph" w:styleId="875">
    <w:name w:val="toc 5"/>
    <w:basedOn w:val="882"/>
    <w:next w:val="882"/>
    <w:uiPriority w:val="39"/>
    <w:unhideWhenUsed/>
    <w:pPr>
      <w:ind w:left="1134" w:right="0" w:firstLine="0"/>
      <w:spacing w:after="57"/>
    </w:pPr>
  </w:style>
  <w:style w:type="paragraph" w:styleId="876">
    <w:name w:val="toc 6"/>
    <w:basedOn w:val="882"/>
    <w:next w:val="882"/>
    <w:uiPriority w:val="39"/>
    <w:unhideWhenUsed/>
    <w:pPr>
      <w:ind w:left="1417" w:right="0" w:firstLine="0"/>
      <w:spacing w:after="57"/>
    </w:pPr>
  </w:style>
  <w:style w:type="paragraph" w:styleId="877">
    <w:name w:val="toc 7"/>
    <w:basedOn w:val="882"/>
    <w:next w:val="882"/>
    <w:uiPriority w:val="39"/>
    <w:unhideWhenUsed/>
    <w:pPr>
      <w:ind w:left="1701" w:right="0" w:firstLine="0"/>
      <w:spacing w:after="57"/>
    </w:pPr>
  </w:style>
  <w:style w:type="paragraph" w:styleId="878">
    <w:name w:val="toc 8"/>
    <w:basedOn w:val="882"/>
    <w:next w:val="882"/>
    <w:uiPriority w:val="39"/>
    <w:unhideWhenUsed/>
    <w:pPr>
      <w:ind w:left="1984" w:right="0" w:firstLine="0"/>
      <w:spacing w:after="57"/>
    </w:pPr>
  </w:style>
  <w:style w:type="paragraph" w:styleId="879">
    <w:name w:val="toc 9"/>
    <w:basedOn w:val="882"/>
    <w:next w:val="882"/>
    <w:uiPriority w:val="39"/>
    <w:unhideWhenUsed/>
    <w:pPr>
      <w:ind w:left="2268" w:right="0" w:firstLine="0"/>
      <w:spacing w:after="57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882"/>
    <w:next w:val="882"/>
    <w:uiPriority w:val="99"/>
    <w:unhideWhenUsed/>
    <w:pPr>
      <w:spacing w:after="0" w:afterAutospacing="0"/>
    </w:pPr>
  </w:style>
  <w:style w:type="paragraph" w:styleId="882" w:default="1">
    <w:name w:val="Normal"/>
    <w:next w:val="882"/>
    <w:link w:val="882"/>
    <w:qFormat/>
    <w:rPr>
      <w:sz w:val="24"/>
      <w:szCs w:val="24"/>
      <w:lang w:val="ru-RU" w:eastAsia="ru-RU" w:bidi="ar-SA"/>
    </w:rPr>
  </w:style>
  <w:style w:type="paragraph" w:styleId="883">
    <w:name w:val="Заголовок 3"/>
    <w:basedOn w:val="882"/>
    <w:next w:val="883"/>
    <w:link w:val="902"/>
    <w:uiPriority w:val="9"/>
    <w:qFormat/>
    <w:pPr>
      <w:spacing w:before="100" w:beforeAutospacing="1" w:after="100" w:afterAutospacing="1"/>
      <w:outlineLvl w:val="2"/>
    </w:pPr>
    <w:rPr>
      <w:b/>
      <w:bCs/>
      <w:sz w:val="29"/>
      <w:szCs w:val="29"/>
    </w:rPr>
  </w:style>
  <w:style w:type="character" w:styleId="884">
    <w:name w:val="Основной шрифт абзаца"/>
    <w:next w:val="884"/>
    <w:link w:val="882"/>
    <w:uiPriority w:val="1"/>
    <w:semiHidden/>
    <w:unhideWhenUsed/>
  </w:style>
  <w:style w:type="table" w:styleId="885">
    <w:name w:val="Обычная таблица"/>
    <w:next w:val="885"/>
    <w:link w:val="882"/>
    <w:uiPriority w:val="99"/>
    <w:semiHidden/>
    <w:unhideWhenUsed/>
    <w:qFormat/>
    <w:tblPr/>
  </w:style>
  <w:style w:type="numbering" w:styleId="886">
    <w:name w:val="Нет списка"/>
    <w:next w:val="886"/>
    <w:link w:val="882"/>
    <w:uiPriority w:val="99"/>
    <w:semiHidden/>
    <w:unhideWhenUsed/>
  </w:style>
  <w:style w:type="paragraph" w:styleId="887">
    <w:name w:val="Нижний колонтитул"/>
    <w:basedOn w:val="882"/>
    <w:next w:val="887"/>
    <w:link w:val="882"/>
    <w:pPr>
      <w:tabs>
        <w:tab w:val="center" w:pos="4677" w:leader="none"/>
        <w:tab w:val="right" w:pos="9355" w:leader="none"/>
      </w:tabs>
    </w:pPr>
  </w:style>
  <w:style w:type="character" w:styleId="888">
    <w:name w:val="Номер страницы"/>
    <w:basedOn w:val="884"/>
    <w:next w:val="888"/>
    <w:link w:val="882"/>
  </w:style>
  <w:style w:type="paragraph" w:styleId="889">
    <w:name w:val="Текст выноски"/>
    <w:basedOn w:val="882"/>
    <w:next w:val="889"/>
    <w:link w:val="890"/>
    <w:rPr>
      <w:rFonts w:ascii="Tahoma" w:hAnsi="Tahoma" w:cs="Tahoma"/>
      <w:sz w:val="16"/>
      <w:szCs w:val="16"/>
    </w:rPr>
  </w:style>
  <w:style w:type="character" w:styleId="890">
    <w:name w:val="Текст выноски Знак"/>
    <w:next w:val="890"/>
    <w:link w:val="889"/>
    <w:rPr>
      <w:rFonts w:ascii="Tahoma" w:hAnsi="Tahoma" w:cs="Tahoma"/>
      <w:sz w:val="16"/>
      <w:szCs w:val="16"/>
    </w:rPr>
  </w:style>
  <w:style w:type="paragraph" w:styleId="891">
    <w:name w:val="Верхний колонтитул"/>
    <w:basedOn w:val="882"/>
    <w:next w:val="891"/>
    <w:link w:val="892"/>
    <w:pPr>
      <w:tabs>
        <w:tab w:val="center" w:pos="4677" w:leader="none"/>
        <w:tab w:val="right" w:pos="9355" w:leader="none"/>
      </w:tabs>
    </w:pPr>
  </w:style>
  <w:style w:type="character" w:styleId="892">
    <w:name w:val="Верхний колонтитул Знак"/>
    <w:next w:val="892"/>
    <w:link w:val="891"/>
    <w:rPr>
      <w:sz w:val="24"/>
      <w:szCs w:val="24"/>
    </w:rPr>
  </w:style>
  <w:style w:type="paragraph" w:styleId="893">
    <w:name w:val="Основной текст с отступом"/>
    <w:basedOn w:val="882"/>
    <w:next w:val="893"/>
    <w:link w:val="894"/>
    <w:pPr>
      <w:ind w:firstLine="360"/>
      <w:jc w:val="both"/>
    </w:pPr>
    <w:rPr>
      <w:rFonts w:ascii="Arial" w:hAnsi="Arial" w:cs="Arial"/>
    </w:rPr>
  </w:style>
  <w:style w:type="character" w:styleId="894">
    <w:name w:val="Основной текст с отступом Знак"/>
    <w:next w:val="894"/>
    <w:link w:val="893"/>
    <w:rPr>
      <w:rFonts w:ascii="Arial" w:hAnsi="Arial" w:cs="Arial"/>
      <w:sz w:val="24"/>
      <w:szCs w:val="24"/>
    </w:rPr>
  </w:style>
  <w:style w:type="paragraph" w:styleId="895">
    <w:name w:val="Основной текст 3"/>
    <w:basedOn w:val="882"/>
    <w:next w:val="895"/>
    <w:link w:val="896"/>
    <w:pPr>
      <w:spacing w:after="120"/>
    </w:pPr>
    <w:rPr>
      <w:sz w:val="16"/>
      <w:szCs w:val="16"/>
    </w:rPr>
  </w:style>
  <w:style w:type="character" w:styleId="896">
    <w:name w:val="Основной текст 3 Знак"/>
    <w:next w:val="896"/>
    <w:link w:val="895"/>
    <w:rPr>
      <w:sz w:val="16"/>
      <w:szCs w:val="16"/>
    </w:rPr>
  </w:style>
  <w:style w:type="paragraph" w:styleId="897">
    <w:name w:val="Цитата"/>
    <w:basedOn w:val="882"/>
    <w:next w:val="897"/>
    <w:link w:val="882"/>
    <w:pPr>
      <w:ind w:left="14" w:right="7" w:firstLine="706"/>
      <w:jc w:val="both"/>
      <w:spacing w:line="274" w:lineRule="exact"/>
      <w:shd w:val="clear" w:color="auto" w:fill="ffffff"/>
      <w:widowControl w:val="off"/>
    </w:pPr>
    <w:rPr>
      <w:szCs w:val="20"/>
    </w:rPr>
  </w:style>
  <w:style w:type="paragraph" w:styleId="898">
    <w:name w:val="Normal1"/>
    <w:next w:val="898"/>
    <w:link w:val="882"/>
    <w:rPr>
      <w:lang w:val="ru-RU" w:eastAsia="ru-RU" w:bidi="ar-SA"/>
    </w:rPr>
  </w:style>
  <w:style w:type="paragraph" w:styleId="899">
    <w:name w:val="Основной текст"/>
    <w:basedOn w:val="882"/>
    <w:next w:val="899"/>
    <w:link w:val="900"/>
    <w:pPr>
      <w:spacing w:after="120"/>
    </w:pPr>
  </w:style>
  <w:style w:type="character" w:styleId="900">
    <w:name w:val="Основной текст Знак"/>
    <w:next w:val="900"/>
    <w:link w:val="899"/>
    <w:rPr>
      <w:sz w:val="24"/>
      <w:szCs w:val="24"/>
    </w:rPr>
  </w:style>
  <w:style w:type="character" w:styleId="901">
    <w:name w:val="rvts48220"/>
    <w:next w:val="901"/>
    <w:link w:val="882"/>
    <w:rPr>
      <w:rFonts w:ascii="Arial" w:hAnsi="Arial" w:cs="Arial"/>
      <w:color w:val="000000"/>
      <w:sz w:val="20"/>
      <w:szCs w:val="20"/>
      <w:u w:val="none"/>
    </w:rPr>
  </w:style>
  <w:style w:type="character" w:styleId="902">
    <w:name w:val="Заголовок 3 Знак"/>
    <w:next w:val="902"/>
    <w:link w:val="883"/>
    <w:uiPriority w:val="9"/>
    <w:rPr>
      <w:b/>
      <w:bCs/>
      <w:sz w:val="29"/>
      <w:szCs w:val="29"/>
    </w:rPr>
  </w:style>
  <w:style w:type="character" w:styleId="903">
    <w:name w:val="Гиперссылка"/>
    <w:next w:val="903"/>
    <w:link w:val="882"/>
    <w:uiPriority w:val="99"/>
    <w:unhideWhenUsed/>
    <w:rPr>
      <w:color w:val="0000ff"/>
      <w:u w:val="single"/>
    </w:rPr>
  </w:style>
  <w:style w:type="character" w:styleId="904" w:default="1">
    <w:name w:val="Default Paragraph Font"/>
    <w:uiPriority w:val="1"/>
    <w:semiHidden/>
    <w:unhideWhenUsed/>
  </w:style>
  <w:style w:type="numbering" w:styleId="905" w:default="1">
    <w:name w:val="No List"/>
    <w:uiPriority w:val="99"/>
    <w:semiHidden/>
    <w:unhideWhenUsed/>
  </w:style>
  <w:style w:type="table" w:styleId="90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://Fomin_AS@ba.rosset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Алтайэнерго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TPGorohova</dc:creator>
  <cp:lastModifiedBy>Fomin_AS</cp:lastModifiedBy>
  <cp:revision>6</cp:revision>
  <dcterms:created xsi:type="dcterms:W3CDTF">2021-07-12T15:51:00Z</dcterms:created>
  <dcterms:modified xsi:type="dcterms:W3CDTF">2026-02-04T04:02:10Z</dcterms:modified>
  <cp:version>917504</cp:version>
</cp:coreProperties>
</file>